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Cs/>
        </w:rPr>
      </w:pPr>
      <w:r>
        <w:rPr>
          <w:bCs/>
        </w:rPr>
        <w:drawing>
          <wp:inline distT="0" distB="0" distL="0" distR="0">
            <wp:extent cx="786130" cy="729615"/>
            <wp:effectExtent l="0" t="0" r="0" b="0"/>
            <wp:docPr id="1" name="Изображение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4" t="-1083" r="-1004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ЩЕТИНКИНСКОГО 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КРАСНОЯРСКОГО 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125" w:leader="none"/>
        </w:tabs>
        <w:rPr/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ПОСТАНОВЛЕНИЕ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20.06.2024                           с.  Щетинкино                                № 16-п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 31.07.2002  № 37 «О   проведении нумерации тяговой подстанции и адрес ее нахождения»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 31.07.2015 № 18-п «Об утверждении правил присвоения, изменения и аннулирования адресов на территории муниципального образования  Щетинкинский сельсовет», руководствуясь Уставом муниципального образования  Щетинкинского сельсовета, ПОСТАНОВЛЯЮ: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1.  Считать утратившим силу постановление от  31.07.2002  № 37 «О   проведении нумерации тяговой подстанции и адрес ее нахождения»</w:t>
      </w:r>
      <w:bookmarkStart w:id="0" w:name="OLE_LINK6111"/>
      <w:bookmarkStart w:id="1" w:name="OLE_LINK5111"/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 исполнением  данного  постановления  оставляю  за  собой.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 xml:space="preserve">3. </w:t>
      </w:r>
      <w:bookmarkEnd w:id="0"/>
      <w:bookmarkEnd w:id="1"/>
      <w:r>
        <w:rPr>
          <w:sz w:val="28"/>
          <w:szCs w:val="28"/>
        </w:rPr>
        <w:t>Постановление  вступает  в  силу  со  дня подписания.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  <w:t>Глава  сельсовета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ar-SA"/>
        </w:rPr>
        <w:t xml:space="preserve">                                                        М.А.Сычева </w:t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142</Words>
  <Characters>1038</Characters>
  <CharactersWithSpaces>1375</CharactersWithSpaces>
  <Paragraphs>13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2024-07-03T11:28:34Z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