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eastAsia="Calibri" w:cs="Times New Roman"/>
          <w:b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US" w:eastAsia="ar-SA"/>
        </w:rPr>
      </w:pPr>
      <w:r>
        <w:rPr>
          <w:rFonts w:eastAsia="Calibri" w:cs="Times New Roman"/>
          <w:b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US" w:eastAsia="ar-SA"/>
        </w:rPr>
        <w:drawing>
          <wp:inline distT="0" distB="0" distL="0" distR="0">
            <wp:extent cx="786130" cy="729615"/>
            <wp:effectExtent l="0" t="0" r="0" b="0"/>
            <wp:docPr id="1" name="Изображение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4" t="-1083" r="-1004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 w:cs="Times New Roman"/>
          <w:b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en-US" w:eastAsia="ar-SA"/>
        </w:rPr>
      </w:pPr>
      <w:r>
        <w:rPr>
          <w:rFonts w:eastAsia="Calibri" w:cs="Times New Roman"/>
          <w:b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en-US"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ЩЕТИНКИНСКОГО СЕЛЬСОВЕТА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КУРАГИНСКОГО РАЙОНА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20.06.2024                            с.Щетинкино                              №18-п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 для приведения адресного реестра в порядок,  ПОСТАНОВЛЯЮ: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 в муниципальном делении: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1.Присвоить адрес нежилому зданию, расположенному на территории Щетинкинского сельсовета Курагинского района Красноярского края село Щетинкино:</w:t>
      </w:r>
    </w:p>
    <w:p>
      <w:pPr>
        <w:pStyle w:val="Normal"/>
        <w:rPr/>
      </w:pPr>
      <w:r>
        <w:rPr>
          <w:sz w:val="28"/>
          <w:szCs w:val="28"/>
        </w:rPr>
        <w:t>- Российская Федерация, Красноярский край, Курагинский муниципальный район, с</w:t>
      </w:r>
      <w:r>
        <w:rPr>
          <w:color w:val="000000"/>
          <w:sz w:val="28"/>
          <w:szCs w:val="28"/>
        </w:rPr>
        <w:t>ельское поселение Щетинкинский сельсовет, село Щетинкино,  улица Набережная, здание 2 с кадастровым номером 24:23:4001002:100;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Контроль за  исполнением  данного  постановления  оставляю  за  собой.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                  М.А.Сычева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127</Words>
  <Characters>973</Characters>
  <CharactersWithSpaces>1213</CharactersWithSpaces>
  <Paragraphs>15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2024-07-03T11:29:05Z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