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               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ЩЕТИНКИНСКИЙ СЕЛЬСКИЙ СОВЕТ  ДЕПУТАТОВ</w:t>
      </w:r>
    </w:p>
    <w:p>
      <w:pPr>
        <w:pStyle w:val="Normal"/>
        <w:jc w:val="center"/>
        <w:rPr/>
      </w:pPr>
      <w:r>
        <w:rPr/>
        <w:t xml:space="preserve">КУРАГИНСКОГО РАЙОНА </w:t>
      </w:r>
    </w:p>
    <w:p>
      <w:pPr>
        <w:pStyle w:val="Normal"/>
        <w:jc w:val="center"/>
        <w:rPr/>
      </w:pPr>
      <w:r>
        <w:rPr/>
        <w:t>КРАСНОЯРСКОГО КРАЯ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                  </w:t>
      </w:r>
      <w:r>
        <w:rPr/>
        <w:t xml:space="preserve">РЕШЕНИЕ          </w:t>
      </w:r>
      <w:r>
        <w:rPr>
          <w:b/>
          <w:bCs/>
        </w:rPr>
        <w:t xml:space="preserve">Проект   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с.Щетинкино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color w:val="000000"/>
        </w:rPr>
        <w:t>О</w:t>
      </w:r>
      <w:r>
        <w:rPr>
          <w:color w:val="000000"/>
          <w:spacing w:val="-2"/>
        </w:rPr>
        <w:t>б утверждении "Прогноза социально-экономического развития муниципального образования Щетинкинский сельсовет Курагинского района Красноярского края на 2025 год и плановый период 2026 и 2027 годов"</w:t>
      </w:r>
    </w:p>
    <w:p>
      <w:pPr>
        <w:pStyle w:val="Normal"/>
        <w:shd w:val="clear" w:color="auto" w:fill="FFFFFF"/>
        <w:spacing w:lineRule="exact" w:line="322" w:before="974" w:after="0"/>
        <w:ind w:firstLine="701" w:left="5"/>
        <w:jc w:val="both"/>
        <w:rPr/>
      </w:pPr>
      <w:r>
        <w:rPr>
          <w:color w:val="000000"/>
          <w:spacing w:val="-2"/>
        </w:rPr>
        <w:t>На основании Бюджетного кодекса Российской Федерации, Устава Щетинкинского сельсовета, Щетинкинский сельский Совет депутатов РЕШИЛ:</w:t>
      </w:r>
    </w:p>
    <w:p>
      <w:pPr>
        <w:pStyle w:val="Normal"/>
        <w:shd w:val="clear" w:color="auto" w:fill="FFFFFF"/>
        <w:tabs>
          <w:tab w:val="clear" w:pos="708"/>
          <w:tab w:val="left" w:pos="1138" w:leader="none"/>
          <w:tab w:val="left" w:pos="8325" w:leader="none"/>
          <w:tab w:val="left" w:pos="8850" w:leader="none"/>
        </w:tabs>
        <w:spacing w:lineRule="exact" w:line="317" w:before="326" w:after="0"/>
        <w:ind w:firstLine="720" w:left="10" w:right="-30"/>
        <w:rPr/>
      </w:pPr>
      <w:r>
        <w:rPr>
          <w:color w:val="000000"/>
          <w:spacing w:val="-29"/>
        </w:rPr>
        <w:t>1.    У</w:t>
      </w:r>
      <w:r>
        <w:rPr>
          <w:color w:val="000000"/>
          <w:spacing w:val="-2"/>
        </w:rPr>
        <w:t>твердить  "Прогноз социально-экономического развития муниципального образования Щетинкинский сельсовет Курагинского района Красноярского края на 2025 год и плановый период 2026 и 2027 годов"</w:t>
      </w:r>
    </w:p>
    <w:p>
      <w:pPr>
        <w:pStyle w:val="Normal"/>
        <w:shd w:val="clear" w:color="auto" w:fill="FFFFFF"/>
        <w:tabs>
          <w:tab w:val="clear" w:pos="708"/>
          <w:tab w:val="left" w:pos="1277" w:leader="none"/>
        </w:tabs>
        <w:spacing w:lineRule="exact" w:line="326" w:before="317" w:after="0"/>
        <w:ind w:firstLine="706" w:left="5"/>
        <w:rPr/>
      </w:pPr>
      <w:r>
        <w:rPr>
          <w:color w:val="000000"/>
          <w:spacing w:val="-15"/>
        </w:rPr>
        <w:t>2.    Контроль  за  исполнением настоящего решения оставляю за собой.</w:t>
      </w:r>
      <w:r>
        <w:rPr>
          <w:color w:val="000000"/>
        </w:rPr>
        <w:tab/>
      </w:r>
    </w:p>
    <w:p>
      <w:pPr>
        <w:pStyle w:val="Normal"/>
        <w:shd w:val="clear" w:color="auto" w:fill="FFFFFF"/>
        <w:tabs>
          <w:tab w:val="clear" w:pos="708"/>
          <w:tab w:val="left" w:pos="989" w:leader="none"/>
        </w:tabs>
        <w:spacing w:before="317" w:after="0"/>
        <w:ind w:left="710"/>
        <w:rPr/>
      </w:pPr>
      <w:r>
        <w:rPr>
          <w:color w:val="000000"/>
          <w:spacing w:val="-17"/>
        </w:rPr>
        <w:t>3.</w:t>
      </w:r>
      <w:r>
        <w:rPr>
          <w:color w:val="000000"/>
        </w:rPr>
        <w:tab/>
      </w:r>
      <w:r>
        <w:rPr>
          <w:color w:val="000000"/>
          <w:spacing w:val="7"/>
        </w:rPr>
        <w:t>Настоящее   решение вступает в силу  со дня</w:t>
      </w:r>
      <w:r>
        <w:rPr>
          <w:color w:val="000000"/>
          <w:spacing w:val="2"/>
        </w:rPr>
        <w:t xml:space="preserve"> его официального опубликования.</w:t>
      </w:r>
    </w:p>
    <w:p>
      <w:pPr>
        <w:pStyle w:val="Normal"/>
        <w:shd w:val="clear" w:color="auto" w:fill="FFFFFF"/>
        <w:tabs>
          <w:tab w:val="clear" w:pos="708"/>
          <w:tab w:val="left" w:pos="1070" w:leader="none"/>
        </w:tabs>
        <w:spacing w:lineRule="exact" w:line="322" w:before="317" w:after="0"/>
        <w:ind w:firstLine="691" w:left="5"/>
        <w:rPr/>
      </w:pPr>
      <w:r>
        <w:rPr/>
      </w:r>
    </w:p>
    <w:p>
      <w:pPr>
        <w:pStyle w:val="Normal"/>
        <w:rPr>
          <w:color w:val="000000"/>
          <w:spacing w:val="2"/>
        </w:rPr>
      </w:pPr>
      <w:r>
        <w:rPr>
          <w:color w:val="000000"/>
          <w:spacing w:val="2"/>
        </w:rPr>
      </w:r>
    </w:p>
    <w:p>
      <w:pPr>
        <w:pStyle w:val="Normal"/>
        <w:rPr>
          <w:color w:val="000000"/>
          <w:spacing w:val="2"/>
        </w:rPr>
      </w:pPr>
      <w:r>
        <w:rPr>
          <w:color w:val="000000"/>
          <w:spacing w:val="2"/>
        </w:rPr>
      </w:r>
    </w:p>
    <w:p>
      <w:pPr>
        <w:pStyle w:val="Normal"/>
        <w:rPr>
          <w:color w:val="000000"/>
          <w:spacing w:val="2"/>
        </w:rPr>
      </w:pPr>
      <w:r>
        <w:rPr>
          <w:color w:val="000000"/>
          <w:spacing w:val="2"/>
        </w:rPr>
      </w:r>
    </w:p>
    <w:p>
      <w:pPr>
        <w:pStyle w:val="Normal"/>
        <w:rPr/>
      </w:pPr>
      <w:r>
        <w:rPr>
          <w:color w:val="000000"/>
        </w:rPr>
        <w:t>Глава   сельсовета                                                                     М.А.Сычева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>
          <w:rFonts w:ascii="Times New Roman CYR" w:hAnsi="Times New Roman CYR" w:eastAsia="Times New Roman CYR" w:cs="Times New Roman CYR"/>
          <w:b/>
          <w:bCs/>
          <w:sz w:val="44"/>
          <w:szCs w:val="44"/>
        </w:rPr>
      </w:pPr>
      <w:r>
        <w:rPr>
          <w:rFonts w:eastAsia="Times New Roman CYR" w:cs="Times New Roman CYR" w:ascii="Times New Roman CYR" w:hAnsi="Times New Roman CYR"/>
          <w:b/>
          <w:bCs/>
          <w:sz w:val="44"/>
          <w:szCs w:val="44"/>
        </w:rPr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ПРОГНОЗ</w:t>
      </w:r>
    </w:p>
    <w:p>
      <w:pPr>
        <w:pStyle w:val="Normal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СОЦИАЛЬНО-ЭКОНОМИЧЕСКОГО РАЗВИТИЯ</w:t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МУНИЦИПАЛЬНОГО ОБРАЗОВАНИЯ</w:t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ЩЕТИНКИНСКОГО СЕЛЬСОВЕТА</w:t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КУРАГИНСКОГО РАЙОНА</w:t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КРАСНОЯРСКОГО КРАЯ</w:t>
      </w:r>
    </w:p>
    <w:p>
      <w:pPr>
        <w:pStyle w:val="Normal"/>
        <w:jc w:val="center"/>
        <w:rPr/>
      </w:pPr>
      <w:r>
        <w:rPr>
          <w:b/>
          <w:bCs/>
          <w:sz w:val="44"/>
          <w:szCs w:val="44"/>
        </w:rPr>
        <w:t>НА 2025 ГОД</w:t>
      </w:r>
    </w:p>
    <w:p>
      <w:pPr>
        <w:pStyle w:val="Normal"/>
        <w:jc w:val="center"/>
        <w:rPr/>
      </w:pPr>
      <w:r>
        <w:rPr>
          <w:b/>
          <w:bCs/>
          <w:color w:val="000000"/>
          <w:sz w:val="44"/>
          <w:szCs w:val="44"/>
        </w:rPr>
        <w:t>И ПЛАНОВЫЙ ПЕРИОД</w:t>
      </w:r>
    </w:p>
    <w:p>
      <w:pPr>
        <w:pStyle w:val="Normal"/>
        <w:jc w:val="center"/>
        <w:rPr/>
      </w:pPr>
      <w:r>
        <w:rPr>
          <w:b/>
          <w:bCs/>
          <w:color w:val="000000"/>
          <w:sz w:val="44"/>
          <w:szCs w:val="44"/>
        </w:rPr>
        <w:t>2026 и 2027 годов</w:t>
      </w:r>
    </w:p>
    <w:p>
      <w:pPr>
        <w:pStyle w:val="Normal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</w:r>
    </w:p>
    <w:p>
      <w:pPr>
        <w:pStyle w:val="Normal"/>
        <w:rPr>
          <w:b/>
          <w:bCs/>
          <w:color w:val="000000"/>
          <w:sz w:val="52"/>
          <w:szCs w:val="52"/>
        </w:rPr>
      </w:pPr>
      <w:r>
        <w:rPr>
          <w:b/>
          <w:bCs/>
          <w:color w:val="000000"/>
          <w:sz w:val="52"/>
          <w:szCs w:val="52"/>
        </w:rPr>
      </w:r>
    </w:p>
    <w:p>
      <w:pPr>
        <w:pStyle w:val="Normal"/>
        <w:rPr>
          <w:b/>
          <w:bCs/>
          <w:color w:val="000000"/>
          <w:sz w:val="52"/>
          <w:szCs w:val="52"/>
        </w:rPr>
      </w:pPr>
      <w:r>
        <w:rPr>
          <w:b/>
          <w:bCs/>
          <w:color w:val="000000"/>
          <w:sz w:val="52"/>
          <w:szCs w:val="52"/>
        </w:rPr>
      </w:r>
    </w:p>
    <w:p>
      <w:pPr>
        <w:pStyle w:val="Normal"/>
        <w:rPr>
          <w:b/>
          <w:bCs/>
          <w:color w:val="000000"/>
          <w:sz w:val="52"/>
          <w:szCs w:val="52"/>
        </w:rPr>
      </w:pPr>
      <w:r>
        <w:rPr>
          <w:b/>
          <w:bCs/>
          <w:color w:val="000000"/>
          <w:sz w:val="52"/>
          <w:szCs w:val="52"/>
        </w:rPr>
      </w:r>
    </w:p>
    <w:p>
      <w:pPr>
        <w:pStyle w:val="Normal"/>
        <w:rPr>
          <w:b/>
          <w:bCs/>
          <w:color w:val="000000"/>
          <w:sz w:val="52"/>
          <w:szCs w:val="52"/>
        </w:rPr>
      </w:pPr>
      <w:r>
        <w:rPr>
          <w:b/>
          <w:bCs/>
          <w:color w:val="000000"/>
          <w:sz w:val="52"/>
          <w:szCs w:val="52"/>
        </w:rPr>
      </w:r>
    </w:p>
    <w:p>
      <w:pPr>
        <w:pStyle w:val="Normal"/>
        <w:rPr>
          <w:b/>
          <w:bCs/>
          <w:color w:val="000000"/>
          <w:sz w:val="52"/>
          <w:szCs w:val="52"/>
        </w:rPr>
      </w:pPr>
      <w:r>
        <w:rPr>
          <w:b/>
          <w:bCs/>
          <w:color w:val="000000"/>
          <w:sz w:val="52"/>
          <w:szCs w:val="52"/>
        </w:rPr>
      </w:r>
    </w:p>
    <w:p>
      <w:pPr>
        <w:pStyle w:val="211"/>
        <w:ind w:hanging="0"/>
        <w:rPr>
          <w:lang w:val="ru-RU"/>
        </w:rPr>
      </w:pPr>
      <w:r>
        <w:rPr>
          <w:lang w:val="ru-RU"/>
        </w:rPr>
        <w:t>1.Введение</w:t>
      </w:r>
    </w:p>
    <w:p>
      <w:pPr>
        <w:pStyle w:val="211"/>
        <w:jc w:val="left"/>
        <w:rPr>
          <w:lang w:val="ru-RU"/>
        </w:rPr>
      </w:pPr>
      <w:r>
        <w:rPr>
          <w:lang w:val="ru-RU"/>
        </w:rPr>
        <w:t>Прогноз социально-экономического развития муниципального образования  Щетинкинского сельсовета Курагинского района Красноярского края на 2025 год и плановый период 2026 -2027 годов разработан в соответствии с Бюджетным кодексом Российской Федерации, Уставом   Щетинкинского сельсовета Курагинского муниципального района, на основе анализа социально-экономического развития поселения за 2024, с учетом прогнозных материалов, собранных администрацией муниципального образования  Щетинкинский сельсовет, одобренных Советом депутатов  Щетинкинского сельсовета, проекта бюджета поселения на 2025 год и плановый период 2026 – 2027 годов, рассчитанного на основе индексов-дефляторов цен на 2025 год и плановый период 2026-2027 годов.</w:t>
      </w:r>
    </w:p>
    <w:p>
      <w:pPr>
        <w:pStyle w:val="211"/>
        <w:rPr>
          <w:lang w:val="ru-RU"/>
        </w:rPr>
      </w:pPr>
      <w:r>
        <w:rPr>
          <w:lang w:val="ru-RU"/>
        </w:rPr>
        <w:t>Целью прогноза социально-экономического развития муниципального образования  Щетинкинский сельсовет на 2025 год и плановый период 2026-2027 годов является определение основных направлений деятельности органов местного самоуправления, предприятий, расположенных на территории поселения, способствующих обеспечению устойчивого функционирования экономики, повышению экономической активности, создание нормальных условий жизни населения и дальнейшего социально-экономического развития муниципального образования  Щетинкинский сельсовет.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2. Территория сельского поселения и демографическая ситуация.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>В состав территории сельского поселения входят следующие населенные пункты:</w:t>
      </w:r>
    </w:p>
    <w:p>
      <w:pPr>
        <w:pStyle w:val="211"/>
        <w:ind w:hanging="0"/>
        <w:rPr>
          <w:lang w:val="ru-RU"/>
        </w:rPr>
      </w:pPr>
      <w:r>
        <w:rPr>
          <w:lang w:val="ru-RU"/>
        </w:rPr>
        <w:t>с.Щетинкино</w:t>
      </w:r>
    </w:p>
    <w:p>
      <w:pPr>
        <w:pStyle w:val="211"/>
        <w:ind w:hanging="0"/>
        <w:rPr>
          <w:lang w:val="ru-RU"/>
        </w:rPr>
      </w:pPr>
      <w:r>
        <w:rPr>
          <w:lang w:val="ru-RU"/>
        </w:rPr>
        <w:t>ст.Джетка</w:t>
      </w:r>
    </w:p>
    <w:p>
      <w:pPr>
        <w:pStyle w:val="211"/>
        <w:ind w:hanging="0"/>
        <w:rPr>
          <w:lang w:val="ru-RU"/>
        </w:rPr>
      </w:pPr>
      <w:r>
        <w:rPr>
          <w:lang w:val="ru-RU"/>
        </w:rPr>
        <w:t>ст.Сисим</w:t>
      </w:r>
    </w:p>
    <w:p>
      <w:pPr>
        <w:pStyle w:val="211"/>
        <w:ind w:hanging="0"/>
        <w:rPr>
          <w:lang w:val="ru-RU"/>
        </w:rPr>
      </w:pPr>
      <w:r>
        <w:rPr>
          <w:lang w:val="ru-RU"/>
        </w:rPr>
        <w:t>д.Джетка</w:t>
      </w:r>
    </w:p>
    <w:p>
      <w:pPr>
        <w:pStyle w:val="211"/>
        <w:rPr>
          <w:lang w:val="ru-RU"/>
        </w:rPr>
      </w:pPr>
      <w:r>
        <w:rPr>
          <w:lang w:val="ru-RU"/>
        </w:rPr>
        <w:t xml:space="preserve">Административным центром сельского поселения является село  Щетинкино. На территории поселения проживает  50 человек, из них: пенсионеров  23 человека,    дошкольников  нет. В школе обучается 2 ученика. Возможно на следующий год первого класса не будет. Демографическая ситуация в поселении, как и в целом по области, остается сложной.  На территории  Щетинкинского сельсовета  остается очень мало населения. Уезжают молодые семьи. Происходит процесс демографического старения населения.  </w:t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Некоторое смягчение негативных тенденций в демографической ситуации ожидается от реализации программы стимулирования рождаемости, разработанной Правительством Российской Федерации в целях выполнения задач, обозначенных в Послании Президента Российской Федерации Федеральному Собранию Российской Федерации и связанных с демографическим развитием. Материальная поддержка женщин, имеющих детей, выплата материнского капитала, развитие инфраструктуры, способствующей помощи семьям при рождении и воспитании детей послужит предпосылкой для увеличения рождаемости.</w:t>
      </w:r>
    </w:p>
    <w:p>
      <w:pPr>
        <w:pStyle w:val="211"/>
        <w:rPr>
          <w:lang w:val="ru-RU"/>
        </w:rPr>
      </w:pPr>
      <w:r>
        <w:rPr>
          <w:lang w:val="ru-RU"/>
        </w:rPr>
        <w:t>По прогнозу в 2025 – 2027 годах коэффициент рождаемости в поселении  не будет.</w:t>
      </w:r>
    </w:p>
    <w:p>
      <w:pPr>
        <w:pStyle w:val="211"/>
        <w:rPr>
          <w:lang w:val="ru-RU"/>
        </w:rPr>
      </w:pPr>
      <w:r>
        <w:rPr>
          <w:lang w:val="ru-RU"/>
        </w:rPr>
        <w:t>Администрация  Щетинкинского сельсовета оказывает помощь населению преклонного возраста в приобретении топлива, стройматериалов, а также решает другие жизненно важные вопросы.</w:t>
      </w:r>
    </w:p>
    <w:p>
      <w:pPr>
        <w:pStyle w:val="211"/>
        <w:rPr>
          <w:lang w:val="ru-RU"/>
        </w:rPr>
      </w:pPr>
      <w:r>
        <w:rPr>
          <w:lang w:val="ru-RU"/>
        </w:rPr>
        <w:t>Администрацией  Щетинкинского сельсовета разработана и утверждена муниципальная долгосрочная целевая программа «Обеспечение жизнедеятельности муниципального образования Щетинкинский сельсовет».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3. Производство товаров и услуг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21"/>
        <w:rPr/>
      </w:pPr>
      <w:r>
        <w:rPr>
          <w:color w:val="000000"/>
          <w:sz w:val="24"/>
          <w:szCs w:val="24"/>
        </w:rPr>
        <w:t>3.1. Промышленное производство</w:t>
      </w:r>
    </w:p>
    <w:p>
      <w:pPr>
        <w:pStyle w:val="22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территории муниципального образования  Щетинкинский сельсовет промышленные предприятия отсутствуют.</w:t>
      </w:r>
    </w:p>
    <w:p>
      <w:pPr>
        <w:pStyle w:val="221"/>
        <w:rPr/>
      </w:pPr>
      <w:r>
        <w:rPr/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4. Рынок товаров и услуг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В прогнозном периоде на потребительском рынке сохранится устойчивый рост оборота розничной торговли и объема платных услуг, обусловленный  как ростом денежных доходов населения, так и внедрением современных формторговли с эффективной технологией продажи и формированием современной инфраструктуры услуг.При этом, как и в предыдущие годы, рост оборота розничной торговли будет опережать темпы роста платных услуг населению.</w:t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И торговля.</w:t>
      </w:r>
      <w:r>
        <w:rPr>
          <w:color w:val="000000"/>
          <w:lang w:val="ru-RU"/>
        </w:rPr>
        <w:t xml:space="preserve"> На территории  Щетинкинского  сельсовета находится 1 магазин индивидуального предпринимателя.  </w:t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 xml:space="preserve">Платные услуги. </w:t>
      </w:r>
      <w:r>
        <w:rPr>
          <w:color w:val="000000"/>
          <w:lang w:val="ru-RU"/>
        </w:rPr>
        <w:t>Населению оказываются услуги по заготовке дров,    услуги связи,   услуги почты России.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5. Транспорт и связь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 xml:space="preserve">Дорожная сеть. </w:t>
      </w:r>
      <w:r>
        <w:rPr>
          <w:color w:val="000000"/>
          <w:lang w:val="ru-RU"/>
        </w:rPr>
        <w:t>Общая протяжённость улично-дорожной сети в поселении на 01 января 2024 года было 3,9 км. Оформляются документы о передаче дого общего пользования в собственность Щетинкинского сельсовета в связи с этим протяженность дорог увеличится. Основной тенденцией в дорожном хозяйстве по-прежнему остается ухудшение технического состояния сети внутри поселенческих дорог.</w:t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 xml:space="preserve">В 2024 году проведены работы по обсыпке дорог щебнем и грейдированию, внутри поселенческих автомобильных дорог в поселке  Щетинкино. </w:t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Администрацией  Щетинкинского  сельсовета разработана муниципальная целевая программа « Ремонт и содержание улично-дорожной сети».</w:t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До 2026 года планируется произвести полный ремонт автомобильных дорог.</w:t>
      </w:r>
    </w:p>
    <w:p>
      <w:pPr>
        <w:pStyle w:val="211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lang w:val="ru-RU"/>
        </w:rPr>
        <w:t>Пассажирское обслуживание.</w:t>
      </w:r>
      <w:r>
        <w:rPr>
          <w:lang w:val="ru-RU"/>
        </w:rPr>
        <w:t xml:space="preserve"> До районного центра  нет прямого рейса автобуса, отменили. Добраться до района можно только с пересадками в п. Кошурниково  один раз в неделю.  Один раз в неделю автобус ходит до п. Кошурниково. 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lang w:val="ru-RU"/>
        </w:rPr>
        <w:t>Связь.</w:t>
      </w:r>
      <w:r>
        <w:rPr>
          <w:lang w:val="ru-RU"/>
        </w:rPr>
        <w:t xml:space="preserve">  Один раз в неделю из п.Кошурниково почтальон возит почтовую корреспонденцию. Каждый месяц обслуживает пенсионеров- выдача пенсии.</w:t>
      </w:r>
    </w:p>
    <w:p>
      <w:pPr>
        <w:pStyle w:val="211"/>
        <w:rPr>
          <w:lang w:val="ru-RU"/>
        </w:rPr>
      </w:pPr>
      <w:r>
        <w:rPr>
          <w:lang w:val="ru-RU"/>
        </w:rPr>
        <w:t xml:space="preserve">Выписка почтовой корреспонденции (газет, журналов). </w:t>
      </w:r>
    </w:p>
    <w:p>
      <w:pPr>
        <w:pStyle w:val="211"/>
        <w:rPr>
          <w:lang w:val="ru-RU"/>
        </w:rPr>
      </w:pPr>
      <w:r>
        <w:rPr>
          <w:lang w:val="ru-RU"/>
        </w:rPr>
        <w:t>Необходимо решить вопрос о выделении помещения для почтового отделения в  с.Щетинкино.</w:t>
      </w:r>
    </w:p>
    <w:p>
      <w:pPr>
        <w:pStyle w:val="211"/>
        <w:rPr>
          <w:color w:val="000000"/>
          <w:lang w:val="ru-RU"/>
        </w:rPr>
      </w:pPr>
      <w:r>
        <w:rPr>
          <w:color w:val="000000"/>
          <w:lang w:val="ru-RU"/>
        </w:rPr>
        <w:t>Вышки сотовой связи «ТЕЛЕ 2» и «БИЛАЙН»  поставляют в поселке бесперебойную связь и интернет.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6. Строительство.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color w:val="000000"/>
          <w:lang w:val="ru-RU"/>
        </w:rPr>
      </w:pPr>
      <w:r>
        <w:rPr>
          <w:color w:val="000000"/>
          <w:lang w:val="ru-RU"/>
        </w:rPr>
        <w:t>В бюджете поселения расходы на новое строительство не запланированы.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7. Экономика и финансы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 xml:space="preserve">Формирование проекта бюджета муниципального образования  Щетинкинского сельсовета на 2025 год и плановый период 2026 – 2027 годов происходит в условиях нормативно-правовых актов и в соответствии с Бюджетным кодексом Российской Федерации и Уставом  Щетинкинского сельсовета Курагинского муниципального района, на основе показателей прогноза социально-экономического развития поселения на 2025 год, параметров прогноза на период до 2027 года и отражает источники формирования финансовых ресурсов муниципального образования. 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b/>
          <w:bCs/>
          <w:i/>
          <w:i/>
          <w:iCs/>
          <w:lang w:val="ru-RU"/>
        </w:rPr>
      </w:pPr>
      <w:r>
        <w:rPr>
          <w:b/>
          <w:bCs/>
          <w:i/>
          <w:iCs/>
          <w:lang w:val="ru-RU"/>
        </w:rPr>
        <w:t xml:space="preserve">Доходы 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>В соответствии с Уставом  Щетинкинского сельсовета доходы местного бюджета формируются за счет собственных доходов и других доходов в безвозмездном порядке поступающих в соответствии с федеральным и краевым законодательством, решениями Совета депутатов в распоряжение органов местного самоуправления.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21"/>
        <w:rPr/>
      </w:pPr>
      <w:r>
        <w:rPr>
          <w:sz w:val="24"/>
          <w:szCs w:val="24"/>
        </w:rPr>
        <w:t>В 2025 году и плановом периоде 2026 – 2027 годов по  Щетинкинскому сельсовету прогнозируется следующий объём поступлений доходов в бюджет:</w:t>
      </w:r>
    </w:p>
    <w:p>
      <w:pPr>
        <w:pStyle w:val="22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21"/>
        <w:rPr/>
      </w:pPr>
      <w:r>
        <w:rPr>
          <w:b/>
          <w:bCs/>
          <w:sz w:val="24"/>
          <w:szCs w:val="24"/>
        </w:rPr>
        <w:t>Объём поступлений доходов в бюджет муниципального образования  Щетинкинскогосельсовета  прогноз на 2025-2027 г.г.</w:t>
      </w:r>
    </w:p>
    <w:p>
      <w:pPr>
        <w:pStyle w:val="221"/>
        <w:rPr/>
      </w:pPr>
      <w:r>
        <w:rPr/>
      </w:r>
    </w:p>
    <w:p>
      <w:pPr>
        <w:pStyle w:val="221"/>
        <w:rPr/>
      </w:pPr>
      <w:r>
        <w:rPr/>
      </w:r>
    </w:p>
    <w:tbl>
      <w:tblPr>
        <w:tblW w:w="10688" w:type="dxa"/>
        <w:jc w:val="left"/>
        <w:tblInd w:w="3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18"/>
        <w:gridCol w:w="1245"/>
        <w:gridCol w:w="1306"/>
        <w:gridCol w:w="1702"/>
        <w:gridCol w:w="1275"/>
        <w:gridCol w:w="2041"/>
      </w:tblGrid>
      <w:tr>
        <w:trPr>
          <w:trHeight w:val="255" w:hRule="atLeast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>Показатели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>Ед. изм.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>Ожид. 20</w:t>
            </w:r>
            <w:r>
              <w:rPr>
                <w:b/>
                <w:bCs/>
                <w:sz w:val="24"/>
                <w:szCs w:val="24"/>
              </w:rPr>
              <w:t>24год</w:t>
            </w:r>
          </w:p>
        </w:tc>
        <w:tc>
          <w:tcPr>
            <w:tcW w:w="5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>прогноз</w:t>
            </w:r>
          </w:p>
        </w:tc>
      </w:tr>
      <w:tr>
        <w:trPr>
          <w:trHeight w:val="195" w:hRule="atLeast"/>
        </w:trPr>
        <w:tc>
          <w:tcPr>
            <w:tcW w:w="3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W w:w="12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W w:w="13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>20</w:t>
            </w:r>
            <w:r>
              <w:rPr>
                <w:b/>
                <w:bCs/>
                <w:sz w:val="24"/>
                <w:szCs w:val="24"/>
              </w:rPr>
              <w:t>25год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>20</w:t>
            </w:r>
            <w:r>
              <w:rPr>
                <w:b/>
                <w:bCs/>
                <w:sz w:val="24"/>
                <w:szCs w:val="24"/>
              </w:rPr>
              <w:t>26год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5"/>
              <w:rPr/>
            </w:pPr>
            <w:r>
              <w:rPr>
                <w:b/>
                <w:bCs/>
                <w:sz w:val="24"/>
                <w:szCs w:val="24"/>
              </w:rPr>
              <w:t>2027год</w:t>
            </w:r>
          </w:p>
        </w:tc>
      </w:tr>
      <w:tr>
        <w:trPr>
          <w:trHeight w:val="195" w:hRule="atLeast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jc w:val="left"/>
              <w:rPr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Налоговые </w:t>
            </w:r>
            <w:r>
              <w:rPr>
                <w:b/>
                <w:bCs/>
                <w:sz w:val="24"/>
                <w:szCs w:val="24"/>
              </w:rPr>
              <w:t xml:space="preserve">и неналоговые </w:t>
            </w:r>
            <w:r>
              <w:rPr>
                <w:b/>
                <w:bCs/>
                <w:sz w:val="24"/>
                <w:szCs w:val="24"/>
                <w:lang w:val="en-US"/>
              </w:rPr>
              <w:t>доходы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338,7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344,1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349,2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5"/>
              <w:rPr/>
            </w:pPr>
            <w:r>
              <w:rPr>
                <w:b/>
                <w:bCs/>
                <w:sz w:val="24"/>
                <w:szCs w:val="24"/>
              </w:rPr>
              <w:t>353,5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тыс. руб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 w:right="-108"/>
              <w:jc w:val="left"/>
              <w:rPr/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тыс. руб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65,0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sz w:val="24"/>
                <w:szCs w:val="24"/>
              </w:rPr>
              <w:t>Акцизы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тыс. руб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108,5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 w:right="-108"/>
              <w:jc w:val="left"/>
              <w:rPr/>
            </w:pPr>
            <w:r>
              <w:rPr>
                <w:sz w:val="24"/>
                <w:szCs w:val="24"/>
              </w:rPr>
              <w:t>НДФЛ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4"/>
                <w:szCs w:val="24"/>
              </w:rPr>
              <w:t>180,0</w:t>
            </w:r>
          </w:p>
        </w:tc>
      </w:tr>
      <w:tr>
        <w:trPr>
          <w:trHeight w:val="202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 w:right="-108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ИТОГО Субвенции, субсидии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93,7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115,1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0,4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bCs/>
                <w:sz w:val="24"/>
                <w:szCs w:val="24"/>
              </w:rPr>
              <w:t>Субвенция</w:t>
            </w:r>
            <w:r>
              <w:rPr>
                <w:sz w:val="24"/>
                <w:szCs w:val="24"/>
              </w:rPr>
              <w:t>ВУС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93,1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114,7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sz w:val="24"/>
                <w:szCs w:val="24"/>
              </w:rPr>
              <w:t>Административная комиссия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0,4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ИТОГО ДОТАЦИИ, ИМБТ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4299,9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4127,4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3057,7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/>
                <w:sz w:val="24"/>
                <w:szCs w:val="24"/>
              </w:rPr>
              <w:t>3057,7</w:t>
            </w:r>
          </w:p>
        </w:tc>
      </w:tr>
      <w:tr>
        <w:trPr>
          <w:trHeight w:val="57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sz w:val="24"/>
                <w:szCs w:val="24"/>
              </w:rPr>
              <w:t>Дотация по выравниванию из районного бюджета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2159,5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2924,4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2339,5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>2339,5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sz w:val="24"/>
                <w:szCs w:val="24"/>
              </w:rPr>
              <w:t>Дотация по выравниванию из краевого бюджета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20,4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sz w:val="24"/>
                <w:szCs w:val="24"/>
              </w:rPr>
              <w:t>ИМБТ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1556,2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718,2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718,2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sz w:val="24"/>
                <w:szCs w:val="24"/>
              </w:rPr>
              <w:t>718,2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bCs/>
                <w:sz w:val="24"/>
                <w:szCs w:val="24"/>
              </w:rPr>
              <w:t>Иные МБТ на формирование муниципальных дорожных фондов поселений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тыс.руб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Cs/>
                <w:sz w:val="24"/>
                <w:szCs w:val="24"/>
              </w:rPr>
              <w:t>563,8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484,8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Cs/>
                <w:sz w:val="24"/>
                <w:szCs w:val="24"/>
              </w:rPr>
              <w:t xml:space="preserve">     </w:t>
            </w:r>
            <w:r>
              <w:rPr>
                <w:bCs/>
                <w:sz w:val="24"/>
                <w:szCs w:val="24"/>
              </w:rPr>
              <w:t>0,0</w:t>
            </w:r>
          </w:p>
        </w:tc>
      </w:tr>
      <w:tr>
        <w:trPr>
          <w:trHeight w:val="255" w:hRule="atLeast"/>
        </w:trPr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 w:left="-108"/>
              <w:jc w:val="left"/>
              <w:rPr/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sz w:val="24"/>
                <w:szCs w:val="24"/>
                <w:lang w:val="en-US"/>
              </w:rPr>
              <w:t>тыс. руб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4732,3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4576,1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jc w:val="center"/>
              <w:rPr/>
            </w:pPr>
            <w:r>
              <w:rPr>
                <w:b/>
                <w:bCs/>
                <w:sz w:val="24"/>
                <w:szCs w:val="24"/>
              </w:rPr>
              <w:t>3522,0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221"/>
              <w:widowControl w:val="false"/>
              <w:snapToGrid w:val="false"/>
              <w:ind w:hanging="0"/>
              <w:rPr/>
            </w:pPr>
            <w:r>
              <w:rPr>
                <w:b/>
                <w:sz w:val="24"/>
                <w:szCs w:val="24"/>
              </w:rPr>
              <w:t>3411,6</w:t>
            </w:r>
          </w:p>
        </w:tc>
      </w:tr>
    </w:tbl>
    <w:p>
      <w:pPr>
        <w:pStyle w:val="221"/>
        <w:rPr>
          <w:b/>
          <w:bCs/>
        </w:rPr>
      </w:pPr>
      <w:r>
        <w:rPr>
          <w:b/>
          <w:bCs/>
        </w:rPr>
      </w:r>
    </w:p>
    <w:p>
      <w:pPr>
        <w:pStyle w:val="211"/>
        <w:rPr>
          <w:lang w:val="ru-RU"/>
        </w:rPr>
      </w:pPr>
      <w:r>
        <w:rPr>
          <w:lang w:val="ru-RU"/>
        </w:rPr>
        <w:t>Основными источниками формирования бюджета  Щетинкинского сельсовета являются дотации на выравнивания бюджетной обеспеченности муниципальных образований района, дотация на сбалансированность, налоговые и не налоговые доходы.</w:t>
      </w:r>
    </w:p>
    <w:p>
      <w:pPr>
        <w:pStyle w:val="211"/>
        <w:shd w:val="clear" w:color="auto" w:fill="FFFFFF" w:themeFill="background1"/>
        <w:rPr>
          <w:lang w:val="ru-RU"/>
        </w:rPr>
      </w:pPr>
      <w:r>
        <w:rPr>
          <w:b/>
          <w:bCs/>
          <w:lang w:val="ru-RU"/>
        </w:rPr>
        <w:t>Поступление дотации на выравнивания бюджетной обеспеченности  бюджетов поселений из районного и краевого бюджетов по прогнозу в 2025 году составит 2924,4        тыс. рублей,  на 2026 в сумме 2339,9 тыс.рублей, на 2027год в сумме  2339,9 тыс.рублей .</w:t>
      </w:r>
    </w:p>
    <w:p>
      <w:pPr>
        <w:pStyle w:val="211"/>
        <w:shd w:val="clear" w:color="auto" w:fill="FFFFFF" w:themeFill="background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 xml:space="preserve">Налоговые доходы бюджета поселения включают в себя консолидированные поступления от налогов, учитываемых при формировании всех уровней бюджетов Российской Федерации на прогнозируемый период. Сумма поступлений налога на доходы физических лиц рассчитана в соответствии с главой 23 «Налог на доходы физических лиц» части второй Налогового кодекса Российской Федерации, исходя из прогнозируемого фонда оплаты труда по поселению, с учетом темпов роста заработной платы.  </w:t>
      </w:r>
    </w:p>
    <w:p>
      <w:pPr>
        <w:pStyle w:val="211"/>
        <w:rPr>
          <w:lang w:val="ru-RU"/>
        </w:rPr>
      </w:pPr>
      <w:r>
        <w:rPr>
          <w:lang w:val="ru-RU"/>
        </w:rPr>
        <w:t>Налоги на имущество включают: налог на имущество физических лиц и земельный налог. По прогнозу на 2025 год поступления налогов:    земельный налог в сумме 65,0 тыс. рублей, налог на имущество в сумме  0,0 тыс.рублей.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>Уплата акцизов на автомобильный и прямогонный бензин, дизельное топливо, моторные масла для дизельных и (или) карбюраторных (инжекторных) двигателей, подлежащих распределению между бюджетами субъектов РФ и местными бюджетами с учетом установленных дифференцированных нормативов отчислений на 2025 год в сумме  99,1 тыс. рублей, 2026г – 104,2тыс. рублей,  2027г – 108,5 тыс. рублей</w:t>
      </w:r>
    </w:p>
    <w:p>
      <w:pPr>
        <w:pStyle w:val="221"/>
        <w:rPr/>
      </w:pPr>
      <w:r>
        <w:rPr/>
      </w:r>
    </w:p>
    <w:p>
      <w:pPr>
        <w:pStyle w:val="221"/>
        <w:rPr/>
      </w:pPr>
      <w:r>
        <w:rPr>
          <w:sz w:val="24"/>
          <w:szCs w:val="24"/>
        </w:rPr>
        <w:t>Общая сумма доходов бюджета Щетинкинского  сельсовета по прогнозу в 2025 году составит</w:t>
      </w:r>
      <w:r>
        <w:rPr>
          <w:b/>
          <w:bCs/>
          <w:sz w:val="24"/>
          <w:szCs w:val="24"/>
        </w:rPr>
        <w:t xml:space="preserve">   4576,1тыс. рублей.</w:t>
      </w:r>
    </w:p>
    <w:p>
      <w:pPr>
        <w:pStyle w:val="22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211"/>
        <w:rPr>
          <w:lang w:val="ru-RU"/>
        </w:rPr>
      </w:pPr>
      <w:r>
        <w:rPr>
          <w:b/>
          <w:bCs/>
          <w:i/>
          <w:iCs/>
          <w:lang w:val="ru-RU"/>
        </w:rPr>
        <w:t>Расходы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 xml:space="preserve">Расходная часть бюджета  Щетинкинского сельсовета сформирована исходя из ожидаемой оценки поступления доходных источников и средств, получаемых из местного и краевого бюджетов. По прогнозу в 2025 году расходы составят </w:t>
      </w:r>
      <w:r>
        <w:rPr>
          <w:b/>
          <w:bCs/>
          <w:lang w:val="ru-RU"/>
        </w:rPr>
        <w:t xml:space="preserve"> 4586,1 тыс.рублей; 2026 году  3532,0 тыс.рублей, в 2027 году 3421,6 тыс.рублей. </w:t>
      </w:r>
    </w:p>
    <w:p>
      <w:pPr>
        <w:pStyle w:val="221"/>
        <w:rPr/>
      </w:pPr>
      <w:r>
        <w:rPr>
          <w:sz w:val="24"/>
          <w:szCs w:val="24"/>
        </w:rPr>
        <w:t>Расходы на общегосударственные вопросы в 2025 году составят 3634,9 тыс. рублей, в т.ч.фонд заработной платы составляет  3229,9 тыс. руб., на национальную оборону –  104,2 тыс. рублей, в т.ч. фонд заработной платы составляет  65,0 тыс. руб., национальную безопасность и правоохранительную деятельность составляет 0,0 тыс.рублей; национальную экономику (дорожное хозяйство) 583,9 тыс. руб., жилищно-коммунальное хозяйство –  30,0 тыс. рублей., культура и кинематография  138,1 тыс. руб., на межбюджетные трансферты в сумме – 61,9 тыс.руб., отрицательный трансферт в край в сумме 31,2 тыс.руб.</w:t>
      </w:r>
    </w:p>
    <w:p>
      <w:pPr>
        <w:pStyle w:val="211"/>
        <w:rPr>
          <w:lang w:val="ru-RU"/>
        </w:rPr>
      </w:pPr>
      <w:r>
        <w:rPr>
          <w:lang w:val="ru-RU"/>
        </w:rPr>
        <w:t xml:space="preserve">Объём прогнозируемых доходов и расходов в 2024 году по  Щетинкинскому сельсовету составляют по доходам  87,9 %, по расходам  75,4% к плану на 1 ноября 2024 года. 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Налогово-бюджетная политика.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Формирование и исполнение бюджета сельского поселения.</w:t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Бюджетная и налоговая политика муниципального образования определяет основные ориентиры на трехлетний период и направлена на обеспечение дальнейшего роста экономического потенциала муниципального образования, достижение конкретных общественно значимых результатов.</w:t>
      </w:r>
    </w:p>
    <w:p>
      <w:pPr>
        <w:pStyle w:val="211"/>
        <w:ind w:hanging="0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8. Трудовые ресурсы и занятость населения.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>Основное работающее население  работают на железной дороге. Большинство граждан трудоспособного возраста, вынуждены выезжать на работу в   за пределы  района ввиду отсутствия вакантных рабочих мест.  Строительство на территории поселения перерабатывающих цехов и др. производств, позволило бы повысить жизненный потенциал  на селе.</w:t>
      </w:r>
    </w:p>
    <w:p>
      <w:pPr>
        <w:pStyle w:val="211"/>
        <w:ind w:hanging="0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9. Развитие отраслей социальной сферы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9.1. Образование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 xml:space="preserve">На территории поселения имеется школа: муниципальное бюджетное образовательное учреждение « Щетинкинская  общеобразовательная школа»  в которой обучаются 2 учащихся. </w:t>
      </w:r>
    </w:p>
    <w:p>
      <w:pPr>
        <w:pStyle w:val="211"/>
        <w:rPr>
          <w:lang w:val="ru-RU"/>
        </w:rPr>
      </w:pPr>
      <w:r>
        <w:rPr>
          <w:lang w:val="ru-RU"/>
        </w:rPr>
        <w:t>Снижение рождаемости, происходившее в 2000-х годах, привело к ежегодному снижению общего контингента учащихся общеобразовательных учреждений. Поэтому необходимо проводить работу по созданию условий для  жизни и работы молодых кадров на селе.</w:t>
      </w:r>
    </w:p>
    <w:p>
      <w:pPr>
        <w:pStyle w:val="211"/>
        <w:rPr>
          <w:lang w:val="ru-RU"/>
        </w:rPr>
      </w:pPr>
      <w:r>
        <w:rPr>
          <w:lang w:val="ru-RU"/>
        </w:rPr>
        <w:t xml:space="preserve">Молодые семьи уезжают из поселка и соответственно уезжают дети. 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ind w:hanging="0"/>
        <w:rPr>
          <w:lang w:val="ru-RU"/>
        </w:rPr>
      </w:pPr>
      <w:r>
        <w:rPr>
          <w:b/>
          <w:bCs/>
          <w:color w:val="000000"/>
          <w:lang w:val="ru-RU"/>
        </w:rPr>
        <w:t>9.2. Здравоохранение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>Основной целью политики в области здравоохранения является улучшение состояния здоровья населения на основе повышения доступности и качества медицинской помощи, профилактики заболеваний,а также стабилизация демографической ситуации за счет борьбы со смертностью от управляемых причин.</w:t>
      </w:r>
    </w:p>
    <w:p>
      <w:pPr>
        <w:pStyle w:val="211"/>
        <w:rPr>
          <w:lang w:val="ru-RU"/>
        </w:rPr>
      </w:pPr>
      <w:r>
        <w:rPr>
          <w:lang w:val="ru-RU"/>
        </w:rPr>
        <w:t xml:space="preserve">На территории поселения имеется здание фельдшерско - акушерского пункта, ФАП существует, но нет фельдшера. В медпункте не оказывается первая доврачебная помощь.     Многие родители у кого позволяет бюджет возят детей на прививки в п.Кошурниково, но это ни каждый может и не удобно. Пожилое население совсем не может выехать в мед. учреждение, а скорая помощь приезжает через 3-4 часа.  </w:t>
      </w:r>
    </w:p>
    <w:p>
      <w:pPr>
        <w:pStyle w:val="211"/>
        <w:rPr>
          <w:lang w:val="ru-RU"/>
        </w:rPr>
      </w:pPr>
      <w:r>
        <w:rPr>
          <w:lang w:val="ru-RU"/>
        </w:rPr>
        <w:t xml:space="preserve">С июня 2024 года по вторникам приезжает терапевт из п.Кошурниково. Ведет прием граждан. Выписыват рецепты, больничные листы. Ставит прививки. </w:t>
      </w:r>
    </w:p>
    <w:p>
      <w:pPr>
        <w:pStyle w:val="211"/>
        <w:rPr>
          <w:lang w:val="ru-RU"/>
        </w:rPr>
      </w:pPr>
      <w:r>
        <w:rPr>
          <w:lang w:val="ru-RU"/>
        </w:rPr>
        <w:t>Приезжает  также передвижная   флюорография.</w:t>
      </w:r>
    </w:p>
    <w:p>
      <w:pPr>
        <w:pStyle w:val="211"/>
        <w:rPr>
          <w:lang w:val="ru-RU"/>
        </w:rPr>
      </w:pPr>
      <w:r>
        <w:rPr>
          <w:lang w:val="ru-RU"/>
        </w:rPr>
        <w:t>В 2021 году регулярно приезжала передвижная аптека, было очень удобно. Теперь отменили и гражданам преклонного возраста негде купить медикаменты. Многие с хроническими заболеваниями, выезжать не могут. Ближайшая аптека находится в г.Артемовск. Но это очень не удобно. Ни каждый может съездить.</w:t>
      </w:r>
    </w:p>
    <w:p>
      <w:pPr>
        <w:pStyle w:val="211"/>
        <w:rPr>
          <w:lang w:val="ru-RU"/>
        </w:rPr>
      </w:pPr>
      <w:r>
        <w:rPr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9.3. Социальная защита населения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lang w:val="ru-RU"/>
        </w:rPr>
        <w:t>На территории поселения проживает  23  человека, получающих льготы по уплате коммунальных услуг, из них: ветеранов труда — 3 человек, пенсионеров - инвалидов - 2 человек.</w:t>
      </w:r>
    </w:p>
    <w:p>
      <w:pPr>
        <w:pStyle w:val="211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9.4. Культура</w:t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>На территории поселения  в 2016 году сгорел клуб. Культурно массовые мероприятия 1-2 раза в месяц проводят ДК п.Кошурниково и п.Краснокаменск и других клубов Курагинского района.</w:t>
      </w:r>
    </w:p>
    <w:p>
      <w:pPr>
        <w:pStyle w:val="211"/>
        <w:rPr>
          <w:color w:val="000000"/>
          <w:lang w:val="ru-RU"/>
        </w:rPr>
      </w:pPr>
      <w:r>
        <w:rPr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b/>
          <w:bCs/>
          <w:color w:val="000000"/>
          <w:lang w:val="ru-RU"/>
        </w:rPr>
        <w:t>9.5. Физкультура и спорт</w:t>
      </w:r>
    </w:p>
    <w:p>
      <w:pPr>
        <w:pStyle w:val="211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211"/>
        <w:rPr>
          <w:lang w:val="ru-RU"/>
        </w:rPr>
      </w:pPr>
      <w:r>
        <w:rPr>
          <w:color w:val="000000"/>
          <w:lang w:val="ru-RU"/>
        </w:rPr>
        <w:t xml:space="preserve">Развитие физической культуры и спорта в поселении предусматривает решение задачи </w:t>
      </w:r>
      <w:r>
        <w:rPr>
          <w:lang w:val="ru-RU"/>
        </w:rPr>
        <w:t xml:space="preserve">повышения заинтересованности общества в укреплении здоровья, создания условий для здорового образа жизни, расширения возможностей для занятий физической культурой и спортом широких слоев населения.  </w:t>
      </w:r>
    </w:p>
    <w:p>
      <w:pPr>
        <w:pStyle w:val="Normal"/>
        <w:rPr/>
      </w:pPr>
      <w:r>
        <w:rPr>
          <w:color w:val="000000"/>
          <w:sz w:val="24"/>
          <w:szCs w:val="24"/>
        </w:rPr>
        <w:t>Разработана и принята подпрограмма «</w:t>
      </w:r>
      <w:r>
        <w:rPr>
          <w:rFonts w:eastAsia="Times New Roman CYR" w:cs="Times New Roman CYR" w:ascii="Times New Roman CYR" w:hAnsi="Times New Roman CYR"/>
          <w:bCs/>
          <w:color w:val="000000"/>
          <w:sz w:val="21"/>
          <w:szCs w:val="21"/>
        </w:rPr>
        <w:t>«Развитие физической культуры и массового спорта на территории  Щетинкинского сельсовета  на 2023-2025 годы»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221"/>
        <w:rPr/>
      </w:pPr>
      <w:r>
        <w:rPr>
          <w:b/>
          <w:bCs/>
          <w:color w:val="000000"/>
          <w:sz w:val="24"/>
          <w:szCs w:val="24"/>
        </w:rPr>
        <w:t>9.6. Развитие жилищно-коммунального хозяйства</w:t>
      </w:r>
    </w:p>
    <w:p>
      <w:pPr>
        <w:pStyle w:val="221"/>
        <w:rPr/>
      </w:pPr>
      <w:r>
        <w:rPr/>
      </w:r>
    </w:p>
    <w:p>
      <w:pPr>
        <w:pStyle w:val="221"/>
        <w:rPr/>
      </w:pPr>
      <w:r>
        <w:rPr>
          <w:sz w:val="24"/>
          <w:szCs w:val="24"/>
        </w:rPr>
        <w:t xml:space="preserve">На территории поселения имеется 2   скважины, в том числе  1 водонапорная башня,  9 водонапорных колонок. Для нормального обеспечения населения водой требуется капитальный ремонт водопроводной сети, износ которой составляет более 70%.  В 2021 году был произведен частичный ремонт трассы — замена задвижек, устранение утечек. Были установлены 2 новых водонапорных колонки по ул.Щетинкина и ул.Лесная. Общая протяженность водопроводных сетей  2,9  км. </w:t>
      </w:r>
    </w:p>
    <w:p>
      <w:pPr>
        <w:pStyle w:val="221"/>
        <w:rPr/>
      </w:pPr>
      <w:r>
        <w:rPr>
          <w:sz w:val="24"/>
          <w:szCs w:val="24"/>
        </w:rPr>
        <w:t>В 2022 году заступила на территорию Щетинкинского сельсовета ресурсоснабжающая организация ООО « КРАСКОМХОЗ» п.Краснокаменск.</w:t>
      </w:r>
    </w:p>
    <w:p>
      <w:pPr>
        <w:pStyle w:val="Normal"/>
        <w:ind w:left="468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color w:val="26282F"/>
          <w:sz w:val="24"/>
          <w:szCs w:val="24"/>
        </w:rPr>
        <w:t xml:space="preserve">Одним из ключевых направлений развития жилищно-коммунального хозяйства по прежнему остается </w:t>
      </w:r>
      <w:r>
        <w:rPr>
          <w:color w:val="000000"/>
          <w:sz w:val="24"/>
          <w:szCs w:val="24"/>
        </w:rPr>
        <w:t>совершенствование системы оплаты жилья и коммунальных услуг путем реализации принципа полного возмещения затрат каждым потребителем услуг.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"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090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Основной шрифт абзаца4"/>
    <w:qFormat/>
    <w:rsid w:val="00b0090c"/>
    <w:rPr/>
  </w:style>
  <w:style w:type="character" w:styleId="3" w:customStyle="1">
    <w:name w:val="Основной шрифт абзаца3"/>
    <w:qFormat/>
    <w:rsid w:val="00b0090c"/>
    <w:rPr/>
  </w:style>
  <w:style w:type="character" w:styleId="Absatz-Standardschriftart" w:customStyle="1">
    <w:name w:val="Absatz-Standardschriftart"/>
    <w:qFormat/>
    <w:rsid w:val="00b0090c"/>
    <w:rPr/>
  </w:style>
  <w:style w:type="character" w:styleId="WW-Absatz-Standardschriftart" w:customStyle="1">
    <w:name w:val="WW-Absatz-Standardschriftart"/>
    <w:qFormat/>
    <w:rsid w:val="00b0090c"/>
    <w:rPr/>
  </w:style>
  <w:style w:type="character" w:styleId="WW-Absatz-Standardschriftart1" w:customStyle="1">
    <w:name w:val="WW-Absatz-Standardschriftart1"/>
    <w:qFormat/>
    <w:rsid w:val="00b0090c"/>
    <w:rPr/>
  </w:style>
  <w:style w:type="character" w:styleId="WW-Absatz-Standardschriftart11" w:customStyle="1">
    <w:name w:val="WW-Absatz-Standardschriftart11"/>
    <w:qFormat/>
    <w:rsid w:val="00b0090c"/>
    <w:rPr/>
  </w:style>
  <w:style w:type="character" w:styleId="2" w:customStyle="1">
    <w:name w:val="Основной шрифт абзаца2"/>
    <w:qFormat/>
    <w:rsid w:val="00b0090c"/>
    <w:rPr/>
  </w:style>
  <w:style w:type="character" w:styleId="WW-Absatz-Standardschriftart111" w:customStyle="1">
    <w:name w:val="WW-Absatz-Standardschriftart111"/>
    <w:qFormat/>
    <w:rsid w:val="00b0090c"/>
    <w:rPr/>
  </w:style>
  <w:style w:type="character" w:styleId="WW-Absatz-Standardschriftart1111" w:customStyle="1">
    <w:name w:val="WW-Absatz-Standardschriftart1111"/>
    <w:qFormat/>
    <w:rsid w:val="00b0090c"/>
    <w:rPr/>
  </w:style>
  <w:style w:type="character" w:styleId="WW-Absatz-Standardschriftart11111" w:customStyle="1">
    <w:name w:val="WW-Absatz-Standardschriftart11111"/>
    <w:qFormat/>
    <w:rsid w:val="00b0090c"/>
    <w:rPr/>
  </w:style>
  <w:style w:type="character" w:styleId="WW-Absatz-Standardschriftart111111" w:customStyle="1">
    <w:name w:val="WW-Absatz-Standardschriftart111111"/>
    <w:qFormat/>
    <w:rsid w:val="00b0090c"/>
    <w:rPr/>
  </w:style>
  <w:style w:type="character" w:styleId="WW-Absatz-Standardschriftart1111111" w:customStyle="1">
    <w:name w:val="WW-Absatz-Standardschriftart1111111"/>
    <w:qFormat/>
    <w:rsid w:val="00b0090c"/>
    <w:rPr/>
  </w:style>
  <w:style w:type="character" w:styleId="WW-Absatz-Standardschriftart11111111" w:customStyle="1">
    <w:name w:val="WW-Absatz-Standardschriftart11111111"/>
    <w:qFormat/>
    <w:rsid w:val="00b0090c"/>
    <w:rPr/>
  </w:style>
  <w:style w:type="character" w:styleId="WW-Absatz-Standardschriftart111111111" w:customStyle="1">
    <w:name w:val="WW-Absatz-Standardschriftart111111111"/>
    <w:qFormat/>
    <w:rsid w:val="00b0090c"/>
    <w:rPr/>
  </w:style>
  <w:style w:type="character" w:styleId="WW-Absatz-Standardschriftart1111111111" w:customStyle="1">
    <w:name w:val="WW-Absatz-Standardschriftart1111111111"/>
    <w:qFormat/>
    <w:rsid w:val="00b0090c"/>
    <w:rPr/>
  </w:style>
  <w:style w:type="character" w:styleId="WW-Absatz-Standardschriftart11111111111" w:customStyle="1">
    <w:name w:val="WW-Absatz-Standardschriftart11111111111"/>
    <w:qFormat/>
    <w:rsid w:val="00b0090c"/>
    <w:rPr/>
  </w:style>
  <w:style w:type="character" w:styleId="WW-Absatz-Standardschriftart111111111111" w:customStyle="1">
    <w:name w:val="WW-Absatz-Standardschriftart111111111111"/>
    <w:qFormat/>
    <w:rsid w:val="00b0090c"/>
    <w:rPr/>
  </w:style>
  <w:style w:type="character" w:styleId="WW8Num1z0" w:customStyle="1">
    <w:name w:val="WW8Num1z0"/>
    <w:qFormat/>
    <w:rsid w:val="00b0090c"/>
    <w:rPr>
      <w:rFonts w:ascii="Symbol" w:hAnsi="Symbol" w:cs="Symbol"/>
    </w:rPr>
  </w:style>
  <w:style w:type="character" w:styleId="WW8Num3z0" w:customStyle="1">
    <w:name w:val="WW8Num3z0"/>
    <w:qFormat/>
    <w:rsid w:val="00b0090c"/>
    <w:rPr>
      <w:rFonts w:ascii="Times New Roman" w:hAnsi="Times New Roman" w:cs="Times New Roman"/>
    </w:rPr>
  </w:style>
  <w:style w:type="character" w:styleId="WW-Absatz-Standardschriftart1111111111111" w:customStyle="1">
    <w:name w:val="WW-Absatz-Standardschriftart1111111111111"/>
    <w:qFormat/>
    <w:rsid w:val="00b0090c"/>
    <w:rPr/>
  </w:style>
  <w:style w:type="character" w:styleId="WW-Absatz-Standardschriftart11111111111111" w:customStyle="1">
    <w:name w:val="WW-Absatz-Standardschriftart11111111111111"/>
    <w:qFormat/>
    <w:rsid w:val="00b0090c"/>
    <w:rPr/>
  </w:style>
  <w:style w:type="character" w:styleId="WW-Absatz-Standardschriftart111111111111111" w:customStyle="1">
    <w:name w:val="WW-Absatz-Standardschriftart111111111111111"/>
    <w:qFormat/>
    <w:rsid w:val="00b0090c"/>
    <w:rPr/>
  </w:style>
  <w:style w:type="character" w:styleId="WW-Absatz-Standardschriftart1111111111111111" w:customStyle="1">
    <w:name w:val="WW-Absatz-Standardschriftart1111111111111111"/>
    <w:qFormat/>
    <w:rsid w:val="00b0090c"/>
    <w:rPr/>
  </w:style>
  <w:style w:type="character" w:styleId="WW-Absatz-Standardschriftart11111111111111111" w:customStyle="1">
    <w:name w:val="WW-Absatz-Standardschriftart11111111111111111"/>
    <w:qFormat/>
    <w:rsid w:val="00b0090c"/>
    <w:rPr/>
  </w:style>
  <w:style w:type="character" w:styleId="WW-Absatz-Standardschriftart111111111111111111" w:customStyle="1">
    <w:name w:val="WW-Absatz-Standardschriftart111111111111111111"/>
    <w:qFormat/>
    <w:rsid w:val="00b0090c"/>
    <w:rPr/>
  </w:style>
  <w:style w:type="character" w:styleId="WW-Absatz-Standardschriftart1111111111111111111" w:customStyle="1">
    <w:name w:val="WW-Absatz-Standardschriftart1111111111111111111"/>
    <w:qFormat/>
    <w:rsid w:val="00b0090c"/>
    <w:rPr/>
  </w:style>
  <w:style w:type="character" w:styleId="WW-Absatz-Standardschriftart11111111111111111111" w:customStyle="1">
    <w:name w:val="WW-Absatz-Standardschriftart11111111111111111111"/>
    <w:qFormat/>
    <w:rsid w:val="00b0090c"/>
    <w:rPr/>
  </w:style>
  <w:style w:type="character" w:styleId="WW-Absatz-Standardschriftart111111111111111111111" w:customStyle="1">
    <w:name w:val="WW-Absatz-Standardschriftart111111111111111111111"/>
    <w:qFormat/>
    <w:rsid w:val="00b0090c"/>
    <w:rPr/>
  </w:style>
  <w:style w:type="character" w:styleId="WW-Absatz-Standardschriftart1111111111111111111111" w:customStyle="1">
    <w:name w:val="WW-Absatz-Standardschriftart1111111111111111111111"/>
    <w:qFormat/>
    <w:rsid w:val="00b0090c"/>
    <w:rPr/>
  </w:style>
  <w:style w:type="character" w:styleId="WW-Absatz-Standardschriftart11111111111111111111111" w:customStyle="1">
    <w:name w:val="WW-Absatz-Standardschriftart11111111111111111111111"/>
    <w:qFormat/>
    <w:rsid w:val="00b0090c"/>
    <w:rPr/>
  </w:style>
  <w:style w:type="character" w:styleId="WW-Absatz-Standardschriftart111111111111111111111111" w:customStyle="1">
    <w:name w:val="WW-Absatz-Standardschriftart111111111111111111111111"/>
    <w:qFormat/>
    <w:rsid w:val="00b0090c"/>
    <w:rPr/>
  </w:style>
  <w:style w:type="character" w:styleId="WW-Absatz-Standardschriftart1111111111111111111111111" w:customStyle="1">
    <w:name w:val="WW-Absatz-Standardschriftart1111111111111111111111111"/>
    <w:qFormat/>
    <w:rsid w:val="00b0090c"/>
    <w:rPr/>
  </w:style>
  <w:style w:type="character" w:styleId="WW-Absatz-Standardschriftart11111111111111111111111111" w:customStyle="1">
    <w:name w:val="WW-Absatz-Standardschriftart11111111111111111111111111"/>
    <w:qFormat/>
    <w:rsid w:val="00b0090c"/>
    <w:rPr/>
  </w:style>
  <w:style w:type="character" w:styleId="WW-Absatz-Standardschriftart111111111111111111111111111" w:customStyle="1">
    <w:name w:val="WW-Absatz-Standardschriftart111111111111111111111111111"/>
    <w:qFormat/>
    <w:rsid w:val="00b0090c"/>
    <w:rPr/>
  </w:style>
  <w:style w:type="character" w:styleId="1" w:customStyle="1">
    <w:name w:val="Основной шрифт абзаца1"/>
    <w:qFormat/>
    <w:rsid w:val="00b0090c"/>
    <w:rPr/>
  </w:style>
  <w:style w:type="character" w:styleId="WW8Num25z0" w:customStyle="1">
    <w:name w:val="WW8Num25z0"/>
    <w:qFormat/>
    <w:rsid w:val="00b0090c"/>
    <w:rPr>
      <w:rFonts w:ascii="Symbol" w:hAnsi="Symbol" w:cs="Symbol"/>
    </w:rPr>
  </w:style>
  <w:style w:type="character" w:styleId="RTFNum21" w:customStyle="1">
    <w:name w:val="RTF_Num 2 1"/>
    <w:qFormat/>
    <w:rsid w:val="00b0090c"/>
    <w:rPr/>
  </w:style>
  <w:style w:type="character" w:styleId="RTFNum22" w:customStyle="1">
    <w:name w:val="RTF_Num 2 2"/>
    <w:qFormat/>
    <w:rsid w:val="00b0090c"/>
    <w:rPr>
      <w:rFonts w:ascii="OpenSymbol" w:hAnsi="OpenSymbol" w:eastAsia="OpenSymbol" w:cs="OpenSymbol"/>
    </w:rPr>
  </w:style>
  <w:style w:type="character" w:styleId="RTFNum23" w:customStyle="1">
    <w:name w:val="RTF_Num 2 3"/>
    <w:qFormat/>
    <w:rsid w:val="00b0090c"/>
    <w:rPr>
      <w:rFonts w:ascii="OpenSymbol" w:hAnsi="OpenSymbol" w:eastAsia="OpenSymbol" w:cs="OpenSymbol"/>
    </w:rPr>
  </w:style>
  <w:style w:type="character" w:styleId="RTFNum24" w:customStyle="1">
    <w:name w:val="RTF_Num 2 4"/>
    <w:qFormat/>
    <w:rsid w:val="00b0090c"/>
    <w:rPr>
      <w:rFonts w:ascii="OpenSymbol" w:hAnsi="OpenSymbol" w:eastAsia="OpenSymbol" w:cs="OpenSymbol"/>
    </w:rPr>
  </w:style>
  <w:style w:type="character" w:styleId="RTFNum25" w:customStyle="1">
    <w:name w:val="RTF_Num 2 5"/>
    <w:qFormat/>
    <w:rsid w:val="00b0090c"/>
    <w:rPr>
      <w:rFonts w:ascii="OpenSymbol" w:hAnsi="OpenSymbol" w:eastAsia="OpenSymbol" w:cs="OpenSymbol"/>
    </w:rPr>
  </w:style>
  <w:style w:type="character" w:styleId="RTFNum26" w:customStyle="1">
    <w:name w:val="RTF_Num 2 6"/>
    <w:qFormat/>
    <w:rsid w:val="00b0090c"/>
    <w:rPr>
      <w:rFonts w:ascii="OpenSymbol" w:hAnsi="OpenSymbol" w:eastAsia="OpenSymbol" w:cs="OpenSymbol"/>
    </w:rPr>
  </w:style>
  <w:style w:type="character" w:styleId="RTFNum27" w:customStyle="1">
    <w:name w:val="RTF_Num 2 7"/>
    <w:qFormat/>
    <w:rsid w:val="00b0090c"/>
    <w:rPr>
      <w:rFonts w:ascii="OpenSymbol" w:hAnsi="OpenSymbol" w:eastAsia="OpenSymbol" w:cs="OpenSymbol"/>
    </w:rPr>
  </w:style>
  <w:style w:type="character" w:styleId="RTFNum28" w:customStyle="1">
    <w:name w:val="RTF_Num 2 8"/>
    <w:qFormat/>
    <w:rsid w:val="00b0090c"/>
    <w:rPr>
      <w:rFonts w:ascii="OpenSymbol" w:hAnsi="OpenSymbol" w:eastAsia="OpenSymbol" w:cs="OpenSymbol"/>
    </w:rPr>
  </w:style>
  <w:style w:type="character" w:styleId="RTFNum29" w:customStyle="1">
    <w:name w:val="RTF_Num 2 9"/>
    <w:qFormat/>
    <w:rsid w:val="00b0090c"/>
    <w:rPr>
      <w:rFonts w:ascii="OpenSymbol" w:hAnsi="OpenSymbol" w:eastAsia="OpenSymbol" w:cs="OpenSymbol"/>
    </w:rPr>
  </w:style>
  <w:style w:type="character" w:styleId="RTFNum210" w:customStyle="1">
    <w:name w:val="RTF_Num 2 10"/>
    <w:qFormat/>
    <w:rsid w:val="00b0090c"/>
    <w:rPr>
      <w:rFonts w:ascii="OpenSymbol" w:hAnsi="OpenSymbol" w:eastAsia="OpenSymbol" w:cs="OpenSymbol"/>
    </w:rPr>
  </w:style>
  <w:style w:type="paragraph" w:styleId="Style14" w:customStyle="1">
    <w:name w:val="Заголовок"/>
    <w:basedOn w:val="Normal"/>
    <w:next w:val="BodyText"/>
    <w:qFormat/>
    <w:rsid w:val="00b0090c"/>
    <w:pPr>
      <w:keepNext w:val="true"/>
      <w:spacing w:before="240" w:after="120"/>
    </w:pPr>
    <w:rPr>
      <w:rFonts w:ascii="Arial" w:hAnsi="Arial" w:eastAsia="SimSun" w:cs="Mangal"/>
    </w:rPr>
  </w:style>
  <w:style w:type="paragraph" w:styleId="BodyText">
    <w:name w:val="Body Text"/>
    <w:basedOn w:val="Normal"/>
    <w:rsid w:val="00b0090c"/>
    <w:pPr>
      <w:spacing w:before="0" w:after="120"/>
    </w:pPr>
    <w:rPr/>
  </w:style>
  <w:style w:type="paragraph" w:styleId="List">
    <w:name w:val="List"/>
    <w:basedOn w:val="BodyText"/>
    <w:rsid w:val="00b0090c"/>
    <w:pPr/>
    <w:rPr>
      <w:rFonts w:cs="Mangal"/>
    </w:rPr>
  </w:style>
  <w:style w:type="paragraph" w:styleId="Caption">
    <w:name w:val="caption"/>
    <w:basedOn w:val="Normal"/>
    <w:qFormat/>
    <w:rsid w:val="00b0090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ef5406"/>
    <w:pPr>
      <w:suppressLineNumbers/>
    </w:pPr>
    <w:rPr>
      <w:rFonts w:cs="Mangal"/>
    </w:rPr>
  </w:style>
  <w:style w:type="paragraph" w:styleId="41" w:customStyle="1">
    <w:name w:val="Указатель4"/>
    <w:basedOn w:val="Normal"/>
    <w:qFormat/>
    <w:rsid w:val="00b0090c"/>
    <w:pPr>
      <w:suppressLineNumbers/>
    </w:pPr>
    <w:rPr>
      <w:rFonts w:cs="Mangal"/>
    </w:rPr>
  </w:style>
  <w:style w:type="paragraph" w:styleId="21" w:customStyle="1">
    <w:name w:val="Название объекта2"/>
    <w:basedOn w:val="Normal"/>
    <w:qFormat/>
    <w:rsid w:val="00b0090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 w:customStyle="1">
    <w:name w:val="Указатель3"/>
    <w:basedOn w:val="Normal"/>
    <w:qFormat/>
    <w:rsid w:val="00b0090c"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rsid w:val="00b0090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 w:customStyle="1">
    <w:name w:val="Указатель2"/>
    <w:basedOn w:val="Normal"/>
    <w:qFormat/>
    <w:rsid w:val="00b0090c"/>
    <w:pPr>
      <w:suppressLineNumbers/>
    </w:pPr>
    <w:rPr>
      <w:rFonts w:cs="Mangal"/>
    </w:rPr>
  </w:style>
  <w:style w:type="paragraph" w:styleId="12" w:customStyle="1">
    <w:name w:val="Название1"/>
    <w:basedOn w:val="Normal"/>
    <w:qFormat/>
    <w:rsid w:val="00b0090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b0090c"/>
    <w:pPr>
      <w:suppressLineNumbers/>
    </w:pPr>
    <w:rPr>
      <w:rFonts w:cs="Mangal"/>
    </w:rPr>
  </w:style>
  <w:style w:type="paragraph" w:styleId="Style16" w:customStyle="1">
    <w:name w:val="Содержимое таблицы"/>
    <w:basedOn w:val="Normal"/>
    <w:qFormat/>
    <w:rsid w:val="00b0090c"/>
    <w:pPr>
      <w:suppressLineNumbers/>
    </w:pPr>
    <w:rPr/>
  </w:style>
  <w:style w:type="paragraph" w:styleId="Style17" w:customStyle="1">
    <w:name w:val="Заголовок таблицы"/>
    <w:basedOn w:val="Style16"/>
    <w:qFormat/>
    <w:rsid w:val="00b0090c"/>
    <w:pPr>
      <w:jc w:val="center"/>
    </w:pPr>
    <w:rPr>
      <w:b/>
      <w:bCs/>
    </w:rPr>
  </w:style>
  <w:style w:type="paragraph" w:styleId="211" w:customStyle="1">
    <w:name w:val="Основной текст с отступом 21"/>
    <w:basedOn w:val="Normal"/>
    <w:qFormat/>
    <w:rsid w:val="00b0090c"/>
    <w:pPr>
      <w:ind w:firstLine="567"/>
      <w:jc w:val="both"/>
    </w:pPr>
    <w:rPr>
      <w:sz w:val="24"/>
      <w:szCs w:val="24"/>
      <w:lang w:val="en-US"/>
    </w:rPr>
  </w:style>
  <w:style w:type="paragraph" w:styleId="221" w:customStyle="1">
    <w:name w:val="Основной текст с отступом 22"/>
    <w:basedOn w:val="Normal"/>
    <w:qFormat/>
    <w:rsid w:val="00b0090c"/>
    <w:pPr>
      <w:ind w:firstLine="567"/>
      <w:jc w:val="both"/>
    </w:pPr>
    <w:rPr/>
  </w:style>
  <w:style w:type="numbering" w:styleId="Style18" w:customStyle="1">
    <w:name w:val="Без списка"/>
    <w:uiPriority w:val="99"/>
    <w:semiHidden/>
    <w:unhideWhenUsed/>
    <w:qFormat/>
    <w:rsid w:val="00ef5406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Application>LibreOffice/24.8.3.2$Windows_X86_64 LibreOffice_project/48a6bac9e7e268aeb4c3483fcf825c94556d9f92</Application>
  <AppVersion>15.0000</AppVersion>
  <Pages>8</Pages>
  <Words>1850</Words>
  <Characters>12960</Characters>
  <CharactersWithSpaces>14974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2022-11-15T04:22:00Z</dcterms:created>
  <dc:creator>User</dc:creator>
  <dc:description/>
  <dc:language>ru-RU</dc:language>
  <cp:lastModifiedBy/>
  <cp:lastPrinted>2024-12-04T13:14:54Z</cp:lastPrinted>
  <dcterms:modified xsi:type="dcterms:W3CDTF">2024-12-04T13:14:59Z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